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Default="000719BB" w:rsidP="006C2343">
      <w:pPr>
        <w:pStyle w:val="Titul2"/>
      </w:pPr>
    </w:p>
    <w:p w14:paraId="30627DCC" w14:textId="77777777" w:rsidR="00826B7B" w:rsidRDefault="00826B7B" w:rsidP="006C2343">
      <w:pPr>
        <w:pStyle w:val="Titul2"/>
      </w:pPr>
    </w:p>
    <w:p w14:paraId="4D80D193" w14:textId="77777777" w:rsidR="00DA1C67" w:rsidRDefault="00DA1C67" w:rsidP="006C2343">
      <w:pPr>
        <w:pStyle w:val="Titul2"/>
      </w:pPr>
    </w:p>
    <w:p w14:paraId="61F4E5C4" w14:textId="77777777" w:rsidR="003254A3" w:rsidRPr="000719BB" w:rsidRDefault="00BD76C3" w:rsidP="006C2343">
      <w:pPr>
        <w:pStyle w:val="Titul2"/>
      </w:pPr>
      <w:r>
        <w:t>Příloha č. 2 c)</w:t>
      </w:r>
    </w:p>
    <w:p w14:paraId="0B1F8997" w14:textId="77777777" w:rsidR="003254A3" w:rsidRDefault="003254A3" w:rsidP="00AD0C7B">
      <w:pPr>
        <w:pStyle w:val="Titul2"/>
      </w:pPr>
    </w:p>
    <w:p w14:paraId="53EE233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1CA127A" w14:textId="77777777" w:rsidR="00AD0C7B" w:rsidRDefault="00AD0C7B" w:rsidP="00EB46E5">
      <w:pPr>
        <w:pStyle w:val="Titul2"/>
      </w:pPr>
    </w:p>
    <w:p w14:paraId="7033CB2D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E067D1B" w14:textId="77777777" w:rsidR="002007BA" w:rsidRDefault="002007BA" w:rsidP="006C2343">
      <w:pPr>
        <w:pStyle w:val="Tituldatum"/>
      </w:pPr>
    </w:p>
    <w:p w14:paraId="29FA1CBF" w14:textId="1094549C" w:rsidR="00BF54FE" w:rsidRDefault="00393E92" w:rsidP="006C2343">
      <w:pPr>
        <w:pStyle w:val="Tituldatum"/>
      </w:pPr>
      <w:r>
        <w:rPr>
          <w:rStyle w:val="Nzevakce"/>
        </w:rPr>
        <w:t>Oprava kolejí v </w:t>
      </w:r>
      <w:proofErr w:type="spellStart"/>
      <w:r>
        <w:rPr>
          <w:rStyle w:val="Nzevakce"/>
        </w:rPr>
        <w:t>žst</w:t>
      </w:r>
      <w:proofErr w:type="spellEnd"/>
      <w:r>
        <w:rPr>
          <w:rStyle w:val="Nzevakce"/>
        </w:rPr>
        <w:t xml:space="preserve">. Brno-Maloměřice – SK 10 </w:t>
      </w:r>
    </w:p>
    <w:p w14:paraId="7B2D9E1B" w14:textId="77777777" w:rsidR="00BF54FE" w:rsidRDefault="00BF54FE" w:rsidP="006C2343">
      <w:pPr>
        <w:pStyle w:val="Tituldatum"/>
      </w:pPr>
    </w:p>
    <w:p w14:paraId="20176008" w14:textId="77777777" w:rsidR="009226C1" w:rsidRDefault="009226C1" w:rsidP="006C2343">
      <w:pPr>
        <w:pStyle w:val="Tituldatum"/>
      </w:pPr>
    </w:p>
    <w:p w14:paraId="3BCBCDE0" w14:textId="77777777" w:rsidR="00DA1C67" w:rsidRDefault="00DA1C67" w:rsidP="006C2343">
      <w:pPr>
        <w:pStyle w:val="Tituldatum"/>
      </w:pPr>
    </w:p>
    <w:p w14:paraId="14A5E258" w14:textId="77777777" w:rsidR="00DA1C67" w:rsidRDefault="00DA1C67" w:rsidP="006C2343">
      <w:pPr>
        <w:pStyle w:val="Tituldatum"/>
      </w:pPr>
    </w:p>
    <w:p w14:paraId="3AE906E3" w14:textId="77777777" w:rsidR="003B111D" w:rsidRDefault="003B111D" w:rsidP="006C2343">
      <w:pPr>
        <w:pStyle w:val="Tituldatum"/>
      </w:pPr>
    </w:p>
    <w:p w14:paraId="18B9FFCB" w14:textId="43DA4EEB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93E92" w:rsidRPr="00393E92">
        <w:t>14</w:t>
      </w:r>
      <w:r w:rsidRPr="00393E92">
        <w:t xml:space="preserve">. </w:t>
      </w:r>
      <w:r w:rsidR="00DD550D" w:rsidRPr="00393E92">
        <w:t>1</w:t>
      </w:r>
      <w:r w:rsidRPr="00393E92">
        <w:t>. 20</w:t>
      </w:r>
      <w:r w:rsidR="002C0924" w:rsidRPr="00393E92">
        <w:t>2</w:t>
      </w:r>
      <w:r w:rsidR="00DD550D" w:rsidRPr="00393E92">
        <w:t>1</w:t>
      </w:r>
      <w:r w:rsidR="0076790E">
        <w:t xml:space="preserve"> </w:t>
      </w:r>
    </w:p>
    <w:p w14:paraId="6627779C" w14:textId="708D43A3" w:rsidR="00DA1C67" w:rsidRDefault="00DA1C67">
      <w:r>
        <w:br w:type="page"/>
      </w:r>
    </w:p>
    <w:p w14:paraId="1324891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5F639AA8" w14:textId="76561349" w:rsidR="00CF5DA1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1530750" w:history="1">
        <w:r w:rsidR="00CF5DA1" w:rsidRPr="005F6923">
          <w:rPr>
            <w:rStyle w:val="Hypertextovodkaz"/>
          </w:rPr>
          <w:t>SEZNAM ZKRATEK</w:t>
        </w:r>
        <w:r w:rsidR="00CF5DA1">
          <w:rPr>
            <w:noProof/>
            <w:webHidden/>
          </w:rPr>
          <w:tab/>
        </w:r>
        <w:r w:rsidR="00CF5DA1">
          <w:rPr>
            <w:noProof/>
            <w:webHidden/>
          </w:rPr>
          <w:fldChar w:fldCharType="begin"/>
        </w:r>
        <w:r w:rsidR="00CF5DA1">
          <w:rPr>
            <w:noProof/>
            <w:webHidden/>
          </w:rPr>
          <w:instrText xml:space="preserve"> PAGEREF _Toc61530750 \h </w:instrText>
        </w:r>
        <w:r w:rsidR="00CF5DA1">
          <w:rPr>
            <w:noProof/>
            <w:webHidden/>
          </w:rPr>
        </w:r>
        <w:r w:rsidR="00CF5DA1">
          <w:rPr>
            <w:noProof/>
            <w:webHidden/>
          </w:rPr>
          <w:fldChar w:fldCharType="separate"/>
        </w:r>
        <w:r w:rsidR="00CF5DA1">
          <w:rPr>
            <w:noProof/>
            <w:webHidden/>
          </w:rPr>
          <w:t>2</w:t>
        </w:r>
        <w:r w:rsidR="00CF5DA1">
          <w:rPr>
            <w:noProof/>
            <w:webHidden/>
          </w:rPr>
          <w:fldChar w:fldCharType="end"/>
        </w:r>
      </w:hyperlink>
    </w:p>
    <w:p w14:paraId="0B31035D" w14:textId="356F09BB" w:rsidR="00CF5DA1" w:rsidRDefault="00CF5DA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0751" w:history="1">
        <w:r w:rsidRPr="005F6923">
          <w:rPr>
            <w:rStyle w:val="Hypertextovodkaz"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25AC293" w14:textId="38D188D8" w:rsidR="00CF5DA1" w:rsidRDefault="00CF5DA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752" w:history="1">
        <w:r w:rsidRPr="005F6923">
          <w:rPr>
            <w:rStyle w:val="Hypertextovodkaz"/>
          </w:rPr>
          <w:t>1.1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EE77FA9" w14:textId="77E32953" w:rsidR="00CF5DA1" w:rsidRDefault="00CF5DA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753" w:history="1">
        <w:r w:rsidRPr="005F6923">
          <w:rPr>
            <w:rStyle w:val="Hypertextovodkaz"/>
          </w:rPr>
          <w:t>1.2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2192C6B" w14:textId="403AA978" w:rsidR="00CF5DA1" w:rsidRDefault="00CF5DA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0754" w:history="1">
        <w:r w:rsidRPr="005F6923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AC9DD4A" w14:textId="608B73BB" w:rsidR="00CF5DA1" w:rsidRDefault="00CF5DA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755" w:history="1">
        <w:r w:rsidRPr="005F6923">
          <w:rPr>
            <w:rStyle w:val="Hypertextovodkaz"/>
          </w:rPr>
          <w:t>2.1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D3B203E" w14:textId="5882457B" w:rsidR="00CF5DA1" w:rsidRDefault="00CF5DA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756" w:history="1">
        <w:r w:rsidRPr="005F6923">
          <w:rPr>
            <w:rStyle w:val="Hypertextovodkaz"/>
          </w:rPr>
          <w:t>2.2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050EBD9" w14:textId="28F157D1" w:rsidR="00CF5DA1" w:rsidRDefault="00CF5DA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0757" w:history="1">
        <w:r w:rsidRPr="005F6923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B74D174" w14:textId="6B4936E4" w:rsidR="00CF5DA1" w:rsidRDefault="00CF5DA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0758" w:history="1">
        <w:r w:rsidRPr="005F6923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941F03" w14:textId="2F853AB2" w:rsidR="00CF5DA1" w:rsidRDefault="00CF5DA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759" w:history="1">
        <w:r w:rsidRPr="005F6923">
          <w:rPr>
            <w:rStyle w:val="Hypertextovodkaz"/>
          </w:rPr>
          <w:t>4.1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C76A80F" w14:textId="7DEF27F0" w:rsidR="00CF5DA1" w:rsidRDefault="00CF5DA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760" w:history="1">
        <w:r w:rsidRPr="005F6923">
          <w:rPr>
            <w:rStyle w:val="Hypertextovodkaz"/>
          </w:rPr>
          <w:t>4.2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F1A0590" w14:textId="3C793EC0" w:rsidR="00CF5DA1" w:rsidRDefault="00CF5DA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761" w:history="1">
        <w:r w:rsidRPr="005F6923">
          <w:rPr>
            <w:rStyle w:val="Hypertextovodkaz"/>
          </w:rPr>
          <w:t>4.3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4545569" w14:textId="3ADE5A07" w:rsidR="00CF5DA1" w:rsidRDefault="00CF5DA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762" w:history="1">
        <w:r w:rsidRPr="005F6923">
          <w:rPr>
            <w:rStyle w:val="Hypertextovodkaz"/>
          </w:rPr>
          <w:t>4.4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25D466E" w14:textId="12CD4590" w:rsidR="00CF5DA1" w:rsidRDefault="00CF5DA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763" w:history="1">
        <w:r w:rsidRPr="005F6923">
          <w:rPr>
            <w:rStyle w:val="Hypertextovodkaz"/>
          </w:rPr>
          <w:t>4.5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F63C706" w14:textId="5E472A49" w:rsidR="00CF5DA1" w:rsidRDefault="00CF5DA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764" w:history="1">
        <w:r w:rsidRPr="005F6923">
          <w:rPr>
            <w:rStyle w:val="Hypertextovodkaz"/>
          </w:rPr>
          <w:t>4.6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Železniční svršek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1D6FB95" w14:textId="37BE86F7" w:rsidR="00CF5DA1" w:rsidRDefault="00CF5DA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765" w:history="1">
        <w:r w:rsidRPr="005F6923">
          <w:rPr>
            <w:rStyle w:val="Hypertextovodkaz"/>
          </w:rPr>
          <w:t>4.7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F7E6B21" w14:textId="22285C20" w:rsidR="00CF5DA1" w:rsidRDefault="00CF5DA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766" w:history="1">
        <w:r w:rsidRPr="005F6923">
          <w:rPr>
            <w:rStyle w:val="Hypertextovodkaz"/>
          </w:rPr>
          <w:t>4.8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Vyzískaný materiál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FE0AF54" w14:textId="4A32D721" w:rsidR="00CF5DA1" w:rsidRDefault="00CF5DA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0767" w:history="1">
        <w:r w:rsidRPr="005F6923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9B2D0EE" w14:textId="664597DF" w:rsidR="00CF5DA1" w:rsidRDefault="00CF5DA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0768" w:history="1">
        <w:r w:rsidRPr="005F6923">
          <w:rPr>
            <w:rStyle w:val="Hypertextovodkaz"/>
          </w:rPr>
          <w:t>6.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F6923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F757479" w14:textId="73A36B98" w:rsidR="00AD0C7B" w:rsidRDefault="00BD7E91" w:rsidP="008D03B9">
      <w:r>
        <w:fldChar w:fldCharType="end"/>
      </w:r>
    </w:p>
    <w:p w14:paraId="35B2D077" w14:textId="77777777" w:rsidR="00AD0C7B" w:rsidRDefault="00AD0C7B" w:rsidP="00DA1C67">
      <w:pPr>
        <w:pStyle w:val="Nadpisbezsl1-1"/>
        <w:outlineLvl w:val="0"/>
      </w:pPr>
      <w:bookmarkStart w:id="0" w:name="_Toc13731854"/>
      <w:bookmarkStart w:id="1" w:name="_Toc61530750"/>
      <w:r>
        <w:t>SEZNAM ZKRATEK</w:t>
      </w:r>
      <w:bookmarkEnd w:id="1"/>
      <w:r w:rsidR="0076790E">
        <w:t xml:space="preserve"> </w:t>
      </w:r>
      <w:bookmarkEnd w:id="0"/>
    </w:p>
    <w:p w14:paraId="27F43315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FF10E9" w:rsidRPr="006A10C4" w14:paraId="0A0C39F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4DAEFD" w14:textId="41864CDB" w:rsidR="00FF10E9" w:rsidRPr="00462EF1" w:rsidRDefault="00FF10E9" w:rsidP="003B111D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3EDF5F" w14:textId="0F2CFE6E" w:rsidR="00FF10E9" w:rsidRPr="00462EF1" w:rsidRDefault="00E75E88" w:rsidP="0076790E">
            <w:pPr>
              <w:pStyle w:val="Zkratky2"/>
            </w:pPr>
            <w:r w:rsidRPr="00462EF1">
              <w:t>Elektronický stavební deník</w:t>
            </w:r>
          </w:p>
        </w:tc>
      </w:tr>
      <w:tr w:rsidR="00FF10E9" w:rsidRPr="006A10C4" w14:paraId="7FD5B9F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B92C04" w14:textId="3CCD3B33" w:rsidR="00FF10E9" w:rsidRPr="00E77DD9" w:rsidRDefault="00FF10E9" w:rsidP="003B111D">
            <w:pPr>
              <w:pStyle w:val="Zkratky1"/>
            </w:pPr>
            <w:r w:rsidRPr="00E77DD9">
              <w:t xml:space="preserve">GPK 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DA615B" w14:textId="10AB0245" w:rsidR="00FF10E9" w:rsidRPr="00E77DD9" w:rsidRDefault="00FF10E9" w:rsidP="0076790E">
            <w:pPr>
              <w:pStyle w:val="Zkratky2"/>
            </w:pPr>
            <w:r w:rsidRPr="00E77DD9">
              <w:t>Geometrické parametry koleje</w:t>
            </w:r>
          </w:p>
        </w:tc>
      </w:tr>
      <w:tr w:rsidR="00FF10E9" w:rsidRPr="006A10C4" w14:paraId="7F817CA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CA01D8" w14:textId="55BE8318" w:rsidR="00FF10E9" w:rsidRPr="00462EF1" w:rsidRDefault="00FF10E9" w:rsidP="003B111D">
            <w:pPr>
              <w:pStyle w:val="Zkratky1"/>
            </w:pPr>
            <w:r>
              <w:t>KSU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58A24" w14:textId="651C8FEE" w:rsidR="00FF10E9" w:rsidRPr="00462EF1" w:rsidRDefault="00FF10E9" w:rsidP="0076790E">
            <w:pPr>
              <w:pStyle w:val="Zkratky2"/>
            </w:pPr>
            <w:r>
              <w:t xml:space="preserve">Koordinační schéma </w:t>
            </w:r>
            <w:proofErr w:type="spellStart"/>
            <w:r>
              <w:t>ukolejnění</w:t>
            </w:r>
            <w:proofErr w:type="spellEnd"/>
          </w:p>
        </w:tc>
      </w:tr>
      <w:tr w:rsidR="00FF10E9" w:rsidRPr="006A10C4" w14:paraId="042926C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DB0C14" w14:textId="186FE0E7" w:rsidR="00FF10E9" w:rsidRPr="00462EF1" w:rsidRDefault="00FF10E9" w:rsidP="003B111D">
            <w:pPr>
              <w:pStyle w:val="Zkratky1"/>
            </w:pPr>
            <w:r>
              <w:t>SEE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6B3050" w14:textId="6032C91B" w:rsidR="00FF10E9" w:rsidRPr="00462EF1" w:rsidRDefault="00FF10E9" w:rsidP="0076790E">
            <w:pPr>
              <w:pStyle w:val="Zkratky2"/>
            </w:pPr>
            <w:r>
              <w:t>Správa elektrotechniky a energetiky</w:t>
            </w:r>
          </w:p>
        </w:tc>
      </w:tr>
      <w:tr w:rsidR="00FF10E9" w:rsidRPr="006A10C4" w14:paraId="7C5E09B0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94F93" w14:textId="6E006DED" w:rsidR="00FF10E9" w:rsidRDefault="00FF10E9" w:rsidP="003B111D">
            <w:pPr>
              <w:pStyle w:val="Zkratky1"/>
            </w:pPr>
            <w:r>
              <w:t>ST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5EA147" w14:textId="477E03D5" w:rsidR="00FF10E9" w:rsidRPr="00462EF1" w:rsidRDefault="00FF10E9" w:rsidP="0076790E">
            <w:pPr>
              <w:pStyle w:val="Zkratky2"/>
            </w:pPr>
            <w:r>
              <w:t>Správa tratí</w:t>
            </w:r>
          </w:p>
        </w:tc>
      </w:tr>
      <w:tr w:rsidR="00FF10E9" w:rsidRPr="006A10C4" w14:paraId="72866465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F634A3" w14:textId="0E679940" w:rsidR="00FF10E9" w:rsidRDefault="00FF10E9" w:rsidP="003B111D">
            <w:pPr>
              <w:pStyle w:val="Zkratky1"/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4E1B9D" w14:textId="6D9D8A01" w:rsidR="00FF10E9" w:rsidRDefault="00FF10E9" w:rsidP="0076790E">
            <w:pPr>
              <w:pStyle w:val="Zkratky2"/>
            </w:pPr>
            <w:r w:rsidRPr="00462EF1">
              <w:t>Správa železnic, státní organizace</w:t>
            </w:r>
          </w:p>
        </w:tc>
      </w:tr>
      <w:tr w:rsidR="00FF10E9" w:rsidRPr="006A10C4" w14:paraId="0502A08A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CA02CD" w14:textId="5A0E7434" w:rsidR="00FF10E9" w:rsidRPr="00462EF1" w:rsidRDefault="00FF10E9" w:rsidP="003B111D">
            <w:pPr>
              <w:pStyle w:val="Zkratky1"/>
            </w:pPr>
            <w:r>
              <w:t>TP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DA2D25" w14:textId="682A7B19" w:rsidR="00FF10E9" w:rsidRPr="00462EF1" w:rsidRDefault="00FF10E9" w:rsidP="0076790E">
            <w:pPr>
              <w:pStyle w:val="Zkratky2"/>
            </w:pPr>
            <w:r>
              <w:t>Trakční podpěra</w:t>
            </w:r>
          </w:p>
        </w:tc>
      </w:tr>
      <w:tr w:rsidR="00FF10E9" w:rsidRPr="006A10C4" w14:paraId="6D31BE2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8A3814" w14:textId="5389A7DF" w:rsidR="00FF10E9" w:rsidRPr="00462EF1" w:rsidRDefault="00FF10E9" w:rsidP="003B111D">
            <w:pPr>
              <w:pStyle w:val="Zkratky1"/>
            </w:pPr>
            <w:r w:rsidRPr="00E77DD9">
              <w:t xml:space="preserve">ŽST 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625B6" w14:textId="121CAEF1" w:rsidR="00FF10E9" w:rsidRPr="00462EF1" w:rsidRDefault="00FF10E9" w:rsidP="0076790E">
            <w:pPr>
              <w:pStyle w:val="Zkratky2"/>
            </w:pPr>
            <w:r w:rsidRPr="00E77DD9">
              <w:t>Železniční stanice</w:t>
            </w:r>
          </w:p>
        </w:tc>
      </w:tr>
      <w:tr w:rsidR="002C0924" w:rsidRPr="006A10C4" w14:paraId="3112A63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52A4C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895870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765001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F6A9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F2AF" w14:textId="77777777" w:rsidR="002C0924" w:rsidRPr="006A10C4" w:rsidRDefault="002C0924" w:rsidP="000F15F1">
            <w:pPr>
              <w:pStyle w:val="Zkratky2"/>
            </w:pPr>
            <w:bookmarkStart w:id="2" w:name="_GoBack"/>
            <w:bookmarkEnd w:id="2"/>
          </w:p>
        </w:tc>
      </w:tr>
      <w:tr w:rsidR="002C0924" w:rsidRPr="006A10C4" w14:paraId="39602A8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55A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3C4C2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D9AC0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B8383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00FA9B" w14:textId="77777777" w:rsidR="002C0924" w:rsidRPr="006A10C4" w:rsidRDefault="002C0924" w:rsidP="000F15F1">
            <w:pPr>
              <w:pStyle w:val="Zkratky2"/>
            </w:pPr>
          </w:p>
        </w:tc>
      </w:tr>
    </w:tbl>
    <w:p w14:paraId="74E1B202" w14:textId="77777777" w:rsidR="00041EC8" w:rsidRDefault="00041EC8" w:rsidP="00AD0C7B"/>
    <w:p w14:paraId="1176E746" w14:textId="77777777" w:rsidR="00826B7B" w:rsidRDefault="00826B7B">
      <w:r>
        <w:br w:type="page"/>
      </w:r>
    </w:p>
    <w:p w14:paraId="19931550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61530751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3AA57056" w14:textId="77777777" w:rsidR="00DF7BAA" w:rsidRDefault="00DF7BAA" w:rsidP="00DF7BAA">
      <w:pPr>
        <w:pStyle w:val="Nadpis2-2"/>
      </w:pPr>
      <w:bookmarkStart w:id="10" w:name="_Toc6410430"/>
      <w:bookmarkStart w:id="11" w:name="_Toc61530752"/>
      <w:r>
        <w:t>Účel a rozsah předmětu Díla</w:t>
      </w:r>
      <w:bookmarkEnd w:id="10"/>
      <w:bookmarkEnd w:id="11"/>
    </w:p>
    <w:p w14:paraId="749F973F" w14:textId="77777777" w:rsidR="00E75E88" w:rsidRDefault="00E75E88" w:rsidP="00E75E88">
      <w:pPr>
        <w:pStyle w:val="Text2-1"/>
      </w:pPr>
      <w:r>
        <w:t>Předmětem díla je zhotovení stavby „Oprava kolejí v </w:t>
      </w:r>
      <w:proofErr w:type="spellStart"/>
      <w:r>
        <w:t>žst</w:t>
      </w:r>
      <w:proofErr w:type="spellEnd"/>
      <w:r>
        <w:t xml:space="preserve">. Brno-Maloměřice – SK 10“ </w:t>
      </w:r>
      <w:r w:rsidRPr="00843D29">
        <w:t xml:space="preserve">jejímž cílem je </w:t>
      </w:r>
      <w:r>
        <w:t>zajištění bezproblémové provozuschopnosti železniční dopravní cesty výměnou a údržbou poškozených součástí železničního svršku.</w:t>
      </w:r>
    </w:p>
    <w:p w14:paraId="1B5E66A3" w14:textId="00FCD684" w:rsidR="00DF7BAA" w:rsidRPr="00DB4332" w:rsidRDefault="00DF7BAA" w:rsidP="00DF7BAA">
      <w:pPr>
        <w:pStyle w:val="Text2-1"/>
      </w:pPr>
      <w:r w:rsidRPr="00DB4332">
        <w:t xml:space="preserve">Rozsah </w:t>
      </w:r>
      <w:r w:rsidR="00E75E88" w:rsidRPr="00DB4332">
        <w:t xml:space="preserve">Díla </w:t>
      </w:r>
      <w:r w:rsidR="00E75E88">
        <w:t>„Oprava kolejí v </w:t>
      </w:r>
      <w:proofErr w:type="spellStart"/>
      <w:r w:rsidR="00E75E88">
        <w:t>žst</w:t>
      </w:r>
      <w:proofErr w:type="spellEnd"/>
      <w:r w:rsidR="00E75E88">
        <w:t>. Brno-Maloměřice – SK 10“</w:t>
      </w:r>
      <w:r w:rsidR="00E75E88" w:rsidRPr="00DB4332">
        <w:t xml:space="preserve"> je </w:t>
      </w:r>
      <w:r w:rsidR="00E75E88">
        <w:t xml:space="preserve">výměna 609 m kolejového roštu na betonových pražcích včetně výměny kolejového lože. Dojde k výměně </w:t>
      </w:r>
      <w:proofErr w:type="spellStart"/>
      <w:r w:rsidR="00E75E88">
        <w:t>LISů</w:t>
      </w:r>
      <w:proofErr w:type="spellEnd"/>
      <w:r w:rsidR="00E75E88">
        <w:t xml:space="preserve"> a svaření koleje do bezstykové koleje. Dojde ke směrové a výškové úpravě koleje a přilehlých čtyř výhybek na dřevěných pražcích. Součástí Díla je i demontáž a zpětná montáž překážek v koleji pro prováděné práce a úprava </w:t>
      </w:r>
      <w:proofErr w:type="spellStart"/>
      <w:r w:rsidR="00E75E88">
        <w:t>ukolejnění</w:t>
      </w:r>
      <w:proofErr w:type="spellEnd"/>
      <w:r w:rsidR="00E75E88">
        <w:t xml:space="preserve"> a kolejových obvodů na provizorní stavy.</w:t>
      </w:r>
    </w:p>
    <w:p w14:paraId="42434B50" w14:textId="77777777" w:rsidR="00DF7BAA" w:rsidRDefault="00DF7BAA" w:rsidP="00DF7BAA">
      <w:pPr>
        <w:pStyle w:val="Nadpis2-2"/>
      </w:pPr>
      <w:bookmarkStart w:id="12" w:name="_Toc6410431"/>
      <w:bookmarkStart w:id="13" w:name="_Toc61530753"/>
      <w:r>
        <w:t>Umístění stavby</w:t>
      </w:r>
      <w:bookmarkEnd w:id="12"/>
      <w:bookmarkEnd w:id="13"/>
    </w:p>
    <w:p w14:paraId="19E772E6" w14:textId="77777777" w:rsidR="00E75E88" w:rsidRDefault="00E75E88" w:rsidP="00E75E88">
      <w:pPr>
        <w:pStyle w:val="Text2-1"/>
      </w:pPr>
      <w:r>
        <w:t>Stavba bude probíhat na v ŽST Brno-Maloměřice v TUDU 2032 B1.</w:t>
      </w:r>
    </w:p>
    <w:p w14:paraId="6D72995E" w14:textId="77777777" w:rsidR="00DF7BAA" w:rsidRDefault="00DF7BAA" w:rsidP="00DF7BAA">
      <w:pPr>
        <w:pStyle w:val="Nadpis2-1"/>
      </w:pPr>
      <w:bookmarkStart w:id="14" w:name="_Toc6410432"/>
      <w:bookmarkStart w:id="15" w:name="_Toc61530754"/>
      <w:r>
        <w:t>PŘEHLED VÝCHOZÍCH PODKLADŮ</w:t>
      </w:r>
      <w:bookmarkEnd w:id="14"/>
      <w:bookmarkEnd w:id="15"/>
    </w:p>
    <w:p w14:paraId="6072A2BB" w14:textId="77777777" w:rsidR="00DF7BAA" w:rsidRDefault="00DF7BAA" w:rsidP="00DF7BAA">
      <w:pPr>
        <w:pStyle w:val="Nadpis2-2"/>
      </w:pPr>
      <w:bookmarkStart w:id="16" w:name="_Toc6410433"/>
      <w:bookmarkStart w:id="17" w:name="_Toc61530755"/>
      <w:r>
        <w:t>Projektová dokumentace</w:t>
      </w:r>
      <w:bookmarkEnd w:id="16"/>
      <w:bookmarkEnd w:id="17"/>
    </w:p>
    <w:p w14:paraId="48E2F71D" w14:textId="21F6D438" w:rsidR="00DF7BAA" w:rsidRDefault="00DF7BAA" w:rsidP="00E75E88">
      <w:pPr>
        <w:pStyle w:val="Text2-1"/>
      </w:pPr>
      <w:r>
        <w:t xml:space="preserve">Projektová dokumentace </w:t>
      </w:r>
      <w:r w:rsidR="00E75E88">
        <w:t>není k této stavbě zpracována.</w:t>
      </w:r>
    </w:p>
    <w:p w14:paraId="462EDD0A" w14:textId="77777777" w:rsidR="00DF7BAA" w:rsidRDefault="00DF7BAA" w:rsidP="00DF7BAA">
      <w:pPr>
        <w:pStyle w:val="Nadpis2-2"/>
      </w:pPr>
      <w:bookmarkStart w:id="18" w:name="_Toc6410434"/>
      <w:bookmarkStart w:id="19" w:name="_Toc61530756"/>
      <w:r>
        <w:t>Související dokumentace</w:t>
      </w:r>
      <w:bookmarkEnd w:id="18"/>
      <w:bookmarkEnd w:id="19"/>
    </w:p>
    <w:p w14:paraId="37DE7317" w14:textId="77777777" w:rsidR="00E75E88" w:rsidRPr="00BC51B8" w:rsidRDefault="00E75E88" w:rsidP="00E75E88">
      <w:pPr>
        <w:pStyle w:val="Text2-1"/>
      </w:pPr>
      <w:r>
        <w:t>Jedná se o údržbové práce, které budou provedeny bez stavebního povolení.</w:t>
      </w:r>
    </w:p>
    <w:p w14:paraId="5D4B3D46" w14:textId="77777777" w:rsidR="00DF7BAA" w:rsidRDefault="00DF7BAA" w:rsidP="00DF7BAA">
      <w:pPr>
        <w:pStyle w:val="Nadpis2-1"/>
      </w:pPr>
      <w:bookmarkStart w:id="20" w:name="_Toc6410435"/>
      <w:bookmarkStart w:id="21" w:name="_Toc61530757"/>
      <w:r>
        <w:t>KOORDINACE S JINÝMI STAVBAMI</w:t>
      </w:r>
      <w:bookmarkEnd w:id="20"/>
      <w:bookmarkEnd w:id="21"/>
      <w:r>
        <w:t xml:space="preserve"> </w:t>
      </w:r>
    </w:p>
    <w:p w14:paraId="2A7A94F3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3BB1050B" w14:textId="77777777" w:rsidR="00DF7BAA" w:rsidRPr="00E75E88" w:rsidRDefault="00DF7BAA" w:rsidP="00DF7BAA">
      <w:pPr>
        <w:pStyle w:val="Text2-1"/>
      </w:pPr>
      <w:r w:rsidRPr="00E75E88">
        <w:t>Koordinace musí probíhat zejména s níže uvedenými investicemi a opravnými pracemi:</w:t>
      </w:r>
    </w:p>
    <w:p w14:paraId="385D3978" w14:textId="77777777" w:rsidR="00E75E88" w:rsidRPr="00E77DD9" w:rsidRDefault="00E75E88" w:rsidP="00E75E88">
      <w:pPr>
        <w:pStyle w:val="Odstavec1-1a"/>
        <w:numPr>
          <w:ilvl w:val="0"/>
          <w:numId w:val="6"/>
        </w:numPr>
        <w:spacing w:after="120"/>
      </w:pPr>
      <w:r>
        <w:t>Údržbové práce na železničním svršku, spodku a trakčním vedení, které budou provádět ST Brno a SEE Brno.</w:t>
      </w:r>
    </w:p>
    <w:p w14:paraId="2C39C99E" w14:textId="77777777" w:rsidR="00DF7BAA" w:rsidRDefault="00DF7BAA" w:rsidP="00DF7BAA">
      <w:pPr>
        <w:pStyle w:val="Nadpis2-1"/>
      </w:pPr>
      <w:bookmarkStart w:id="22" w:name="_Toc6410436"/>
      <w:bookmarkStart w:id="23" w:name="_Toc61530758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14:paraId="3FF86CD8" w14:textId="77777777" w:rsidR="00DF7BAA" w:rsidRDefault="00DF7BAA" w:rsidP="00DF7BAA">
      <w:pPr>
        <w:pStyle w:val="Nadpis2-2"/>
      </w:pPr>
      <w:bookmarkStart w:id="24" w:name="_Toc6410437"/>
      <w:bookmarkStart w:id="25" w:name="_Toc61530759"/>
      <w:r>
        <w:t>Všeobecně</w:t>
      </w:r>
      <w:bookmarkEnd w:id="24"/>
      <w:bookmarkEnd w:id="25"/>
    </w:p>
    <w:p w14:paraId="38746805" w14:textId="77777777" w:rsidR="00680766" w:rsidRDefault="00680766" w:rsidP="00680766">
      <w:pPr>
        <w:pStyle w:val="Text2-1"/>
      </w:pPr>
      <w:r>
        <w:t>Čl. 1.1</w:t>
      </w:r>
      <w:r w:rsidR="009F30F6">
        <w:t>0</w:t>
      </w:r>
      <w:r>
        <w:t xml:space="preserve"> VTP se ruší.</w:t>
      </w:r>
    </w:p>
    <w:p w14:paraId="64C76194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4FF75BD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[28]  a to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6C8913AD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</w:t>
      </w:r>
      <w:r>
        <w:lastRenderedPageBreak/>
        <w:t xml:space="preserve">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61C4C97C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55727AC7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23DD113E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72EB2F0B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0712A5F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a)  zahájení a ukončení výluk,</w:t>
      </w:r>
    </w:p>
    <w:p w14:paraId="568CD79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d)  údaje potřebné k posouzení prací správními úřady a orgány státního dozoru,</w:t>
      </w:r>
    </w:p>
    <w:p w14:paraId="1D14982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e)  výsledky činnosti autorizovaného inspektora (pokud je určen),</w:t>
      </w:r>
    </w:p>
    <w:p w14:paraId="3A1D98B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f)  výsledky činnosti Koordinátora BOZP (pokud je určen),</w:t>
      </w:r>
    </w:p>
    <w:p w14:paraId="1C784CB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g)  výsledky činnosti odborně způsobilé osoby pro ekologický dozor (pokud je určen).</w:t>
      </w:r>
    </w:p>
    <w:p w14:paraId="4E23F713" w14:textId="77777777" w:rsidR="00122084" w:rsidRDefault="00122084" w:rsidP="00680766">
      <w:pPr>
        <w:pStyle w:val="Text2-1"/>
      </w:pPr>
      <w:r>
        <w:t>V čl. 3.2.3 se ruší text „….a finančního plnění“.</w:t>
      </w:r>
    </w:p>
    <w:p w14:paraId="54CA71A3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75765CF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58D97F5E" w14:textId="77777777" w:rsidR="00680766" w:rsidRDefault="00680766" w:rsidP="00680766">
      <w:pPr>
        <w:pStyle w:val="Text2-1"/>
      </w:pPr>
      <w:r>
        <w:t>Čl. 3.3.5. VTP se ruší.</w:t>
      </w:r>
    </w:p>
    <w:p w14:paraId="2AF81AEE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0B2DF7E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7D8B16ED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BFB780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5938C783" w14:textId="77777777" w:rsidR="00680766" w:rsidRDefault="00680766" w:rsidP="00680766">
      <w:pPr>
        <w:pStyle w:val="Text2-1"/>
      </w:pPr>
      <w:r>
        <w:lastRenderedPageBreak/>
        <w:t xml:space="preserve">Čl. 3.3.8. VTP se mění takto: </w:t>
      </w:r>
    </w:p>
    <w:p w14:paraId="724AC90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Default="00680766" w:rsidP="00B9150D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„….7 kalendářních dnů…“.</w:t>
      </w:r>
    </w:p>
    <w:p w14:paraId="0CBC0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4C4E2B8" w14:textId="77777777" w:rsidR="00680766" w:rsidRDefault="00680766" w:rsidP="00680766">
      <w:pPr>
        <w:pStyle w:val="Text2-1"/>
      </w:pPr>
      <w:r>
        <w:t>Čl. 4.1.7. VTP se ruší.</w:t>
      </w:r>
    </w:p>
    <w:p w14:paraId="303A6C4F" w14:textId="77777777" w:rsidR="00680766" w:rsidRDefault="00680766" w:rsidP="00680766">
      <w:pPr>
        <w:pStyle w:val="Text2-1"/>
      </w:pPr>
      <w:r>
        <w:t>Čl. 4.1.8. VTP se ruší.</w:t>
      </w:r>
    </w:p>
    <w:p w14:paraId="4C59E6C5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FF6E5C4" w14:textId="77777777" w:rsidR="00680766" w:rsidRDefault="00680766" w:rsidP="00680766">
      <w:pPr>
        <w:pStyle w:val="Text2-1"/>
      </w:pPr>
      <w:r>
        <w:t>Čl. 4.2.2. VTP se ruší.</w:t>
      </w:r>
    </w:p>
    <w:p w14:paraId="2DD94DA5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04848AB0" w14:textId="77777777" w:rsidR="00680766" w:rsidRDefault="00680766" w:rsidP="00680766">
      <w:pPr>
        <w:pStyle w:val="Text2-1"/>
      </w:pPr>
      <w:r>
        <w:t>Čl. 4.2.18. VTP se mění takto:</w:t>
      </w:r>
    </w:p>
    <w:p w14:paraId="6BC929F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Default="00680766" w:rsidP="00680766">
      <w:pPr>
        <w:pStyle w:val="Text2-1"/>
      </w:pPr>
      <w:r>
        <w:t>Čl. 4.3.2. VTP se ruší.</w:t>
      </w:r>
    </w:p>
    <w:p w14:paraId="073F75E8" w14:textId="77777777" w:rsidR="00680766" w:rsidRDefault="00680766" w:rsidP="00680766">
      <w:pPr>
        <w:pStyle w:val="Text2-1"/>
      </w:pPr>
      <w:r>
        <w:t>Čl. 4.3.3. VTP se mění takto:</w:t>
      </w:r>
    </w:p>
    <w:p w14:paraId="289B078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5E7C42AB" w14:textId="77777777" w:rsidR="00680766" w:rsidRDefault="00680766" w:rsidP="00680766">
      <w:pPr>
        <w:pStyle w:val="Text2-1"/>
      </w:pPr>
      <w:r>
        <w:t>Čl. 5.1.4. VTP se ruší.</w:t>
      </w:r>
    </w:p>
    <w:p w14:paraId="601693A7" w14:textId="77777777" w:rsidR="00680766" w:rsidRDefault="00680766" w:rsidP="00680766">
      <w:pPr>
        <w:pStyle w:val="Text2-1"/>
      </w:pPr>
      <w:r>
        <w:t xml:space="preserve">V čl. 5.1.10. VTP se text „5 pracovních dnů“ nahrazuje textem „2 pracovní dny“. </w:t>
      </w:r>
    </w:p>
    <w:p w14:paraId="5D2B5F55" w14:textId="77777777" w:rsidR="00680766" w:rsidRDefault="00680766" w:rsidP="00B9150D">
      <w:pPr>
        <w:pStyle w:val="Text2-1"/>
        <w:ind w:left="1814" w:hanging="1814"/>
      </w:pPr>
      <w:r>
        <w:t xml:space="preserve">V čl. 5.2.4. VTP se mění lhůta ze čtyř týdnů na dva týdny. Ruší se text “…. a písemně přizvat dotčené orgány veřejné správy (odbor životního prostředí příslušného úřadu)“. </w:t>
      </w:r>
    </w:p>
    <w:p w14:paraId="63F52EC5" w14:textId="77777777" w:rsidR="00680766" w:rsidRDefault="00680766" w:rsidP="00680766">
      <w:pPr>
        <w:pStyle w:val="Text2-1"/>
      </w:pPr>
      <w:r>
        <w:t>Čl. 6.3.1. VTP se ruší.</w:t>
      </w:r>
    </w:p>
    <w:p w14:paraId="5010352D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8D4D19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377A852C" w14:textId="77777777" w:rsidR="00680766" w:rsidRDefault="00680766" w:rsidP="00B9150D">
      <w:pPr>
        <w:pStyle w:val="Text2-1"/>
        <w:ind w:left="1871" w:hanging="1871"/>
      </w:pPr>
      <w:r>
        <w:lastRenderedPageBreak/>
        <w:t>V čl. 7.1.11. VTP se text „po rekonstrukci“ nahrazuje textem „po opravě a údržbě“, a text rekonstrukce“ se nahrazuje textem „oprava a údržba“.</w:t>
      </w:r>
    </w:p>
    <w:p w14:paraId="7253BC9A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177551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A06F6B1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6832C0C3" w14:textId="77777777" w:rsidR="00680766" w:rsidRDefault="00680766" w:rsidP="00B9150D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7E19D838" w14:textId="77777777" w:rsidR="00680766" w:rsidRDefault="00680766" w:rsidP="00680766">
      <w:pPr>
        <w:pStyle w:val="Text2-1"/>
      </w:pPr>
      <w:r>
        <w:t>Čl. 8.1.4. VTP, odstavec c) se mění takto:</w:t>
      </w:r>
    </w:p>
    <w:p w14:paraId="4088E550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D20966" w14:textId="77777777" w:rsidR="00AB4EC0" w:rsidRDefault="00AB4EC0" w:rsidP="00AB4EC0">
      <w:pPr>
        <w:pStyle w:val="Text2-1"/>
      </w:pPr>
      <w:r>
        <w:t>Čl. 8.1.4. VTP, odstavec d) se mění takto:</w:t>
      </w:r>
    </w:p>
    <w:p w14:paraId="3ABF7801" w14:textId="77777777" w:rsidR="00AB4EC0" w:rsidRDefault="00AB4EC0" w:rsidP="00B9150D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E6B920F" w14:textId="77777777" w:rsidR="00680766" w:rsidRDefault="00680766" w:rsidP="00680766">
      <w:pPr>
        <w:pStyle w:val="Text2-1"/>
      </w:pPr>
      <w:r>
        <w:t>Čl. 8.1.4. VTP, odstavec e) se mění takto:</w:t>
      </w:r>
    </w:p>
    <w:p w14:paraId="5FCF1F2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7EB86AB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119A23F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616380E4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41549ED1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665D98A8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2FB651FA" w14:textId="77777777" w:rsidR="00680766" w:rsidRDefault="00680766" w:rsidP="00680766">
      <w:pPr>
        <w:pStyle w:val="Text2-1"/>
      </w:pPr>
      <w:r>
        <w:t>Čl. 8.2.3. VTP se ruší.</w:t>
      </w:r>
    </w:p>
    <w:p w14:paraId="0073C1B6" w14:textId="77777777" w:rsidR="00680766" w:rsidRDefault="00680766" w:rsidP="00B9150D">
      <w:pPr>
        <w:pStyle w:val="Text2-1"/>
        <w:ind w:left="1814" w:hanging="1814"/>
      </w:pPr>
      <w:r>
        <w:t>V čl. 8.2.8. VTP se ruší text „…..v rozsahu požadavků přílohy „H“ – Dokladová část dle Směrnice GŘ č. 11 [6</w:t>
      </w:r>
      <w:r w:rsidR="00B82624">
        <w:t>4</w:t>
      </w:r>
      <w:r>
        <w:t>]“. Ruší se odstavec b).</w:t>
      </w:r>
    </w:p>
    <w:p w14:paraId="73DB0714" w14:textId="77777777" w:rsidR="00680766" w:rsidRDefault="00680766" w:rsidP="00680766">
      <w:pPr>
        <w:pStyle w:val="Text2-1"/>
      </w:pPr>
      <w:r>
        <w:t>Čl. 8.3.3. VTP se mění takto:</w:t>
      </w:r>
    </w:p>
    <w:p w14:paraId="34AB9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34FFEE77" w14:textId="77777777" w:rsidR="00680766" w:rsidRDefault="00680766" w:rsidP="00680766">
      <w:pPr>
        <w:pStyle w:val="Text2-1"/>
      </w:pPr>
      <w:r>
        <w:t>Čl. 8.3.4. VTP se ruší.</w:t>
      </w:r>
    </w:p>
    <w:p w14:paraId="596C1E8D" w14:textId="77777777" w:rsidR="00680766" w:rsidRDefault="00680766" w:rsidP="00680766">
      <w:pPr>
        <w:pStyle w:val="Text2-1"/>
      </w:pPr>
      <w:r>
        <w:t>Čl. 8.3.5. VTP se mění takto:</w:t>
      </w:r>
    </w:p>
    <w:p w14:paraId="23DCE07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6B9BF58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5926C34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>2 × CD (DVD) – kompletní dokumentace stavby v uzavřené formě</w:t>
      </w:r>
    </w:p>
    <w:p w14:paraId="3F1F9F5E" w14:textId="77777777" w:rsidR="00AF2CCC" w:rsidRDefault="00AF2CCC" w:rsidP="00AF2CCC">
      <w:pPr>
        <w:pStyle w:val="Text2-1"/>
      </w:pPr>
      <w:r w:rsidRPr="00AF2CCC">
        <w:t>V čl. 8.3.6. VTP se ruší text“… *.XML (datový předpis XDC)“.</w:t>
      </w:r>
    </w:p>
    <w:p w14:paraId="3B31A1AE" w14:textId="77777777" w:rsidR="00680766" w:rsidRDefault="00680766" w:rsidP="00680766">
      <w:pPr>
        <w:pStyle w:val="Text2-1"/>
      </w:pPr>
      <w:r>
        <w:t>Čl. 10.2.5. VTP se mění takto:</w:t>
      </w:r>
    </w:p>
    <w:p w14:paraId="7A14637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2402A531" w14:textId="77777777" w:rsidR="008F5F18" w:rsidRDefault="008F5F18" w:rsidP="008F5F18">
      <w:pPr>
        <w:pStyle w:val="Text2-1"/>
        <w:numPr>
          <w:ilvl w:val="2"/>
          <w:numId w:val="7"/>
        </w:numPr>
      </w:pPr>
      <w:r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14880126" w14:textId="77777777" w:rsidR="008F5F18" w:rsidRDefault="008F5F18" w:rsidP="008F5F18">
      <w:pPr>
        <w:pStyle w:val="Textbezslovn"/>
      </w:pPr>
      <w:r>
        <w:t xml:space="preserve">Minimální požadavky na použití </w:t>
      </w:r>
      <w:proofErr w:type="spellStart"/>
      <w:r>
        <w:t>markerů</w:t>
      </w:r>
      <w:proofErr w:type="spellEnd"/>
      <w:r>
        <w:t xml:space="preserve"> jsou následující:</w:t>
      </w:r>
    </w:p>
    <w:p w14:paraId="40A0D90F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75B3EE83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12D1FE2B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1D1084BA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1DC08387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7D828F1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14B9007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18528575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30D698E5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33B4564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285F519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6BC8E4BD" w14:textId="77777777" w:rsidR="008F5F18" w:rsidRDefault="008F5F18" w:rsidP="008F5F18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14FC284A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28A25BA7" w14:textId="77777777" w:rsidR="008F5F18" w:rsidRDefault="008F5F18" w:rsidP="008F5F18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77A2D50E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3CD46D8D" w14:textId="77777777" w:rsidR="008F5F18" w:rsidRDefault="008F5F18" w:rsidP="008F5F18">
      <w:pPr>
        <w:pStyle w:val="Textbezslovn"/>
      </w:pPr>
      <w:r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3C7B909E" w14:textId="77777777" w:rsidR="008F5F18" w:rsidRDefault="008F5F18" w:rsidP="008F5F18">
      <w:pPr>
        <w:pStyle w:val="Textbezslovn"/>
      </w:pPr>
      <w:r>
        <w:lastRenderedPageBreak/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</w:t>
      </w:r>
      <w:r w:rsidR="005F0E69">
        <w:t xml:space="preserve"> </w:t>
      </w:r>
      <w:r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06749678" w14:textId="77777777" w:rsidR="00DF7BAA" w:rsidRDefault="00DF7BAA" w:rsidP="00DF7BAA">
      <w:pPr>
        <w:pStyle w:val="Nadpis2-2"/>
      </w:pPr>
      <w:bookmarkStart w:id="26" w:name="_Toc61530760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5523669D" w14:textId="77777777" w:rsidR="00E9207D" w:rsidRDefault="00084867" w:rsidP="00E9207D">
      <w:pPr>
        <w:pStyle w:val="Text2-1"/>
        <w:numPr>
          <w:ilvl w:val="2"/>
          <w:numId w:val="7"/>
        </w:numPr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E9207D">
        <w:t>Ing. Ondřej Masař tel. 972 740 320,    e-mail: Masar@spravazeleznic.cz</w:t>
      </w:r>
    </w:p>
    <w:p w14:paraId="12E6CCA9" w14:textId="1E697201" w:rsidR="00446218" w:rsidRDefault="00446218" w:rsidP="00AA2EF1">
      <w:pPr>
        <w:pStyle w:val="Text2-1"/>
      </w:pPr>
      <w:r>
        <w:t>Poskytování geodetických podkladů se ří</w:t>
      </w:r>
      <w:r w:rsidR="0094742E">
        <w:t>dí Pokynem generálního ředitele</w:t>
      </w:r>
      <w:r w:rsidR="007C0C8F">
        <w:t xml:space="preserve"> </w:t>
      </w:r>
      <w:r>
        <w:t>SŽ PO-06/2020-GŘ.</w:t>
      </w:r>
    </w:p>
    <w:p w14:paraId="3B462C03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233E40B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28ABF54E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</w:t>
      </w:r>
      <w:r w:rsidR="00446218">
        <w:lastRenderedPageBreak/>
        <w:t xml:space="preserve">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67EE83D4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44445BB2" w14:textId="77777777" w:rsidR="00446218" w:rsidRDefault="00446218" w:rsidP="00446218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0D7E82ED" w14:textId="77777777" w:rsidR="00446218" w:rsidRDefault="00446218" w:rsidP="0044621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</w:t>
      </w:r>
      <w:r w:rsidR="00C90DBF">
        <w:t xml:space="preserve">     </w:t>
      </w:r>
      <w:r>
        <w:t>2. třídu přesnosti.</w:t>
      </w:r>
    </w:p>
    <w:p w14:paraId="4971679C" w14:textId="77777777" w:rsidR="00446218" w:rsidRDefault="00446218" w:rsidP="00446218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14:paraId="1EA09747" w14:textId="77777777" w:rsidR="00446218" w:rsidRDefault="00446218" w:rsidP="00446218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větší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11D83CD6" w14:textId="77777777" w:rsidR="00446218" w:rsidRDefault="00446218" w:rsidP="00446218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2FA2A081" w14:textId="77777777" w:rsidR="00446218" w:rsidRDefault="00446218" w:rsidP="00446218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13299794" w14:textId="77777777" w:rsidR="00DF7BAA" w:rsidRDefault="00DF7BAA" w:rsidP="00DF7BAA">
      <w:pPr>
        <w:pStyle w:val="Nadpis2-2"/>
      </w:pPr>
      <w:bookmarkStart w:id="27" w:name="_Toc6410439"/>
      <w:bookmarkStart w:id="28" w:name="_Toc61530761"/>
      <w:r>
        <w:t>Dokumentace zhotovitele pro stavbu</w:t>
      </w:r>
      <w:bookmarkEnd w:id="27"/>
      <w:bookmarkEnd w:id="28"/>
    </w:p>
    <w:p w14:paraId="39B0768F" w14:textId="5A89EFCD" w:rsidR="0094742E" w:rsidRDefault="0094742E" w:rsidP="0094742E">
      <w:pPr>
        <w:pStyle w:val="Text2-1"/>
        <w:numPr>
          <w:ilvl w:val="2"/>
          <w:numId w:val="7"/>
        </w:numPr>
      </w:pPr>
      <w:r>
        <w:t xml:space="preserve">Zhotovitel minimálně 14 dnů před zahájením prací předloží Objednateli vypracovanou projektovou dokumentaci náhradního </w:t>
      </w:r>
      <w:proofErr w:type="spellStart"/>
      <w:r>
        <w:t>ukolejnění</w:t>
      </w:r>
      <w:proofErr w:type="spellEnd"/>
      <w:r>
        <w:t xml:space="preserve"> a kolejových obvodů.</w:t>
      </w:r>
    </w:p>
    <w:p w14:paraId="0FE87E3C" w14:textId="35B7DA2B" w:rsidR="0094742E" w:rsidRPr="0004537E" w:rsidRDefault="0094742E" w:rsidP="0094742E">
      <w:pPr>
        <w:pStyle w:val="Text2-1"/>
        <w:numPr>
          <w:ilvl w:val="2"/>
          <w:numId w:val="7"/>
        </w:numPr>
      </w:pPr>
      <w:r w:rsidRPr="006B1B8E">
        <w:t>Před uvedením</w:t>
      </w:r>
      <w:r>
        <w:t xml:space="preserve"> díla do</w:t>
      </w:r>
      <w:r w:rsidRPr="0004537E">
        <w:t xml:space="preserve"> provozu dodá Zhotovitel Objednateli výstupy o GPK z měřícího vozíku KRAB a záznamy z ASP, dokumentaci ke zřízení bezstykové koleje, měření překážek, doklady od zabudovaných materiálů.</w:t>
      </w:r>
    </w:p>
    <w:p w14:paraId="0830C5FB" w14:textId="07A995E7" w:rsidR="00DF7BAA" w:rsidRDefault="00DF7BAA" w:rsidP="00032BA0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5D625513" w14:textId="097947E4" w:rsidR="008F5F18" w:rsidRDefault="00DF7BAA" w:rsidP="0094742E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</w:t>
      </w:r>
      <w:r w:rsidR="0094742E">
        <w:t>ahu nutném pro realizaci stavby</w:t>
      </w:r>
    </w:p>
    <w:p w14:paraId="50ED4617" w14:textId="77777777" w:rsidR="00DF7BAA" w:rsidRDefault="00DF7BAA" w:rsidP="00DF7BAA">
      <w:pPr>
        <w:pStyle w:val="Nadpis2-2"/>
      </w:pPr>
      <w:bookmarkStart w:id="29" w:name="_Toc6410441"/>
      <w:bookmarkStart w:id="30" w:name="_Toc61530762"/>
      <w:r>
        <w:t>Zabezpečovací zařízení</w:t>
      </w:r>
      <w:bookmarkEnd w:id="29"/>
      <w:bookmarkEnd w:id="30"/>
    </w:p>
    <w:p w14:paraId="37093128" w14:textId="6227E8E0" w:rsidR="0094742E" w:rsidRDefault="00DB0B7C" w:rsidP="0094742E">
      <w:pPr>
        <w:pStyle w:val="Text2-1"/>
      </w:pPr>
      <w:bookmarkStart w:id="31" w:name="_Toc6410442"/>
      <w:r>
        <w:t>Kolejiště je vybaveno</w:t>
      </w:r>
      <w:r w:rsidR="0094742E">
        <w:t xml:space="preserve"> kolejovými obvody. Zhotovitel provede odbornou demontáž a zpětnou montáž prvků těchto systémů, které tvoří překážku pro práci.</w:t>
      </w:r>
    </w:p>
    <w:p w14:paraId="03A465B7" w14:textId="77777777" w:rsidR="00DF7BAA" w:rsidRDefault="00DF7BAA" w:rsidP="00DF7BAA">
      <w:pPr>
        <w:pStyle w:val="Nadpis2-2"/>
      </w:pPr>
      <w:bookmarkStart w:id="32" w:name="_Toc6410443"/>
      <w:bookmarkStart w:id="33" w:name="_Toc61530763"/>
      <w:bookmarkEnd w:id="31"/>
      <w:r>
        <w:lastRenderedPageBreak/>
        <w:t>Silnoproudá technologie včetně DŘT, trakční a energetická zařízení</w:t>
      </w:r>
      <w:bookmarkEnd w:id="32"/>
      <w:bookmarkEnd w:id="33"/>
    </w:p>
    <w:p w14:paraId="54DECDBC" w14:textId="3EB86805" w:rsidR="00DF7BAA" w:rsidRDefault="00DB0B7C" w:rsidP="00DF7BAA">
      <w:pPr>
        <w:pStyle w:val="Text2-1"/>
      </w:pPr>
      <w:r>
        <w:t xml:space="preserve">Pro jednotlivé etapy bude provedeno náhradní </w:t>
      </w:r>
      <w:proofErr w:type="spellStart"/>
      <w:r>
        <w:t>ukolejnění</w:t>
      </w:r>
      <w:proofErr w:type="spellEnd"/>
      <w:r>
        <w:t xml:space="preserve"> odpojených prvků dle schématu KSU a TP.</w:t>
      </w:r>
    </w:p>
    <w:p w14:paraId="39E43FAB" w14:textId="77777777" w:rsidR="00DF7BAA" w:rsidRDefault="00DF7BAA" w:rsidP="00DF7BAA">
      <w:pPr>
        <w:pStyle w:val="Nadpis2-2"/>
      </w:pPr>
      <w:bookmarkStart w:id="34" w:name="_Toc6410445"/>
      <w:bookmarkStart w:id="35" w:name="_Toc61530764"/>
      <w:r>
        <w:t>Železniční svršek</w:t>
      </w:r>
      <w:bookmarkEnd w:id="34"/>
      <w:bookmarkEnd w:id="35"/>
      <w:r>
        <w:t xml:space="preserve"> </w:t>
      </w:r>
    </w:p>
    <w:p w14:paraId="26E28F25" w14:textId="5BFD3124" w:rsidR="00DF7BAA" w:rsidRPr="00DB0B7C" w:rsidRDefault="00DB0B7C" w:rsidP="00252E2A">
      <w:pPr>
        <w:pStyle w:val="Text2-1"/>
        <w:rPr>
          <w:b/>
        </w:rPr>
      </w:pPr>
      <w:r>
        <w:t xml:space="preserve">Stávající železniční svršek tvoří kolejový rošt s kolejnicemi R65 na betonových pražcích SB8. Kolejový rošt bude vyměněn za užité betonové pražce SB8 a budou vloženy nové kolejnicové pásy 49E1 délky 75 m. Bude použito tuhé upevnění kolejnic se svěrkami ŽS4. Proběhne výměna kolejového lože. V předpolí výhybek na začátku a konci koleje budou dřevěné pražce nahrazeny užitými betonovými. Budou vloženy nové </w:t>
      </w:r>
      <w:proofErr w:type="spellStart"/>
      <w:r>
        <w:t>LISy</w:t>
      </w:r>
      <w:proofErr w:type="spellEnd"/>
      <w:r>
        <w:t>. Bude provedena úprava GPK koleje a přilehlých výhybek na dřevěných pražcích. Kolej bude svařena do bezstykové koleje. Kolejnicové pásy 49E1 z materiálu R260 a užité betonové pražce SB8P jsou dodány Objednatelem a budou před zahájením výluky naloženy na železničních vozech nebo složeny v ŽST Brno-Maloměřice a Brno-Královo Pole. Zhotovitel zajistí jejich vyvezení a vyložení. Zhotovitel zajišťuje dodávku materiálu dle soupisu prací.</w:t>
      </w:r>
      <w:r w:rsidR="00DF7BAA" w:rsidRPr="00DB0B7C">
        <w:rPr>
          <w:b/>
        </w:rPr>
        <w:t xml:space="preserve"> </w:t>
      </w:r>
    </w:p>
    <w:p w14:paraId="7E5D3833" w14:textId="77777777" w:rsidR="00DF7BAA" w:rsidRDefault="00DF7BAA" w:rsidP="00DF7BAA">
      <w:pPr>
        <w:pStyle w:val="Nadpis2-2"/>
      </w:pPr>
      <w:bookmarkStart w:id="36" w:name="_Toc6410448"/>
      <w:bookmarkStart w:id="37" w:name="_Toc61530765"/>
      <w:r>
        <w:t>Železniční přejezdy</w:t>
      </w:r>
      <w:bookmarkEnd w:id="36"/>
      <w:bookmarkEnd w:id="37"/>
    </w:p>
    <w:p w14:paraId="5941FFF3" w14:textId="6DA39945" w:rsidR="00DF7BAA" w:rsidRDefault="00DB0B7C" w:rsidP="00DF7BAA">
      <w:pPr>
        <w:pStyle w:val="Text2-1"/>
      </w:pPr>
      <w:r>
        <w:t>Bude opraven služební železniční přechod na jižním konci koleje přes koleje č. 6, 8 a 10 novou pryžovou přechodovou konstrukcí se závěrnými zídkami. V koleji bude užito antikorozní upevnění.</w:t>
      </w:r>
    </w:p>
    <w:p w14:paraId="349705CF" w14:textId="77777777" w:rsidR="00DF7BAA" w:rsidRDefault="00DF7BAA" w:rsidP="00DF7BAA">
      <w:pPr>
        <w:pStyle w:val="Nadpis2-2"/>
      </w:pPr>
      <w:bookmarkStart w:id="38" w:name="_Toc6410457"/>
      <w:bookmarkStart w:id="39" w:name="_Toc61530766"/>
      <w:r>
        <w:t>Vyzískaný materiál</w:t>
      </w:r>
      <w:bookmarkEnd w:id="38"/>
      <w:bookmarkEnd w:id="39"/>
    </w:p>
    <w:p w14:paraId="43DB8474" w14:textId="1CE541E4" w:rsidR="00DB0B7C" w:rsidRDefault="00B93566" w:rsidP="00DB0B7C">
      <w:pPr>
        <w:pStyle w:val="Text2-1"/>
        <w:numPr>
          <w:ilvl w:val="2"/>
          <w:numId w:val="7"/>
        </w:numPr>
      </w:pPr>
      <w:r w:rsidRPr="00BC51B8">
        <w:rPr>
          <w:b/>
        </w:rPr>
        <w:t xml:space="preserve"> </w:t>
      </w:r>
      <w:proofErr w:type="spellStart"/>
      <w:r w:rsidR="00DB0B7C">
        <w:t>Výzisk</w:t>
      </w:r>
      <w:proofErr w:type="spellEnd"/>
      <w:r w:rsidR="00DB0B7C">
        <w:t xml:space="preserve"> ocelového materiálu železničního svršku bude zhotovitelem předán Objednateli v ŽST Brno-Maloměřice</w:t>
      </w:r>
    </w:p>
    <w:p w14:paraId="20C6AD8F" w14:textId="21A70D09" w:rsidR="00DF7BAA" w:rsidRDefault="00DB0B7C" w:rsidP="00DB0B7C">
      <w:pPr>
        <w:pStyle w:val="Text2-1"/>
        <w:numPr>
          <w:ilvl w:val="2"/>
          <w:numId w:val="7"/>
        </w:numPr>
      </w:pPr>
      <w:r>
        <w:t xml:space="preserve">Ostatní materiál (pryžové podložky, dřevěné pražce) budou zhotovitelem přepraveny k likvidaci. </w:t>
      </w:r>
      <w:proofErr w:type="spellStart"/>
      <w:r>
        <w:t>Výzisk</w:t>
      </w:r>
      <w:proofErr w:type="spellEnd"/>
      <w:r>
        <w:t xml:space="preserve"> kolejového lože bude uložen na pozemcích v majetku Objednatele v prostoru ŽST Brno </w:t>
      </w:r>
      <w:proofErr w:type="spellStart"/>
      <w:r>
        <w:t>hl.n</w:t>
      </w:r>
      <w:proofErr w:type="spellEnd"/>
      <w:r>
        <w:t xml:space="preserve">. – </w:t>
      </w:r>
      <w:proofErr w:type="spellStart"/>
      <w:r>
        <w:t>Filiála</w:t>
      </w:r>
      <w:proofErr w:type="spellEnd"/>
      <w:r>
        <w:t>.</w:t>
      </w:r>
    </w:p>
    <w:p w14:paraId="4D04BA59" w14:textId="77777777" w:rsidR="00DF7BAA" w:rsidRDefault="00DF7BAA" w:rsidP="00DF7BAA">
      <w:pPr>
        <w:pStyle w:val="Nadpis2-1"/>
      </w:pPr>
      <w:bookmarkStart w:id="40" w:name="_Toc6410460"/>
      <w:bookmarkStart w:id="41" w:name="_Toc61530767"/>
      <w:r w:rsidRPr="00EC2E51">
        <w:t>ORGANIZACE</w:t>
      </w:r>
      <w:r>
        <w:t xml:space="preserve"> VÝSTAVBY, VÝLUKY</w:t>
      </w:r>
      <w:bookmarkEnd w:id="40"/>
      <w:bookmarkEnd w:id="41"/>
    </w:p>
    <w:p w14:paraId="0C2BA9C7" w14:textId="77777777" w:rsidR="00DF7BAA" w:rsidRPr="00DB0B7C" w:rsidRDefault="00DF7BAA" w:rsidP="00DF7BAA">
      <w:pPr>
        <w:pStyle w:val="Text2-1"/>
      </w:pPr>
      <w:r w:rsidRPr="00DB0B7C">
        <w:t xml:space="preserve">Závazným pro </w:t>
      </w:r>
      <w:r w:rsidR="00DB58AA" w:rsidRPr="00DB0B7C">
        <w:t>Z</w:t>
      </w:r>
      <w:r w:rsidRPr="00DB0B7C">
        <w:t>hotovitele jsou termíny a rozsah výluk, které jsou uvedeny v následující tabulce: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DB0B7C" w:rsidRPr="00BC51B8" w14:paraId="1792C08D" w14:textId="77777777" w:rsidTr="006A10C4">
        <w:tc>
          <w:tcPr>
            <w:tcW w:w="1327" w:type="dxa"/>
            <w:shd w:val="clear" w:color="auto" w:fill="auto"/>
          </w:tcPr>
          <w:p w14:paraId="021CE1C8" w14:textId="75AF8457" w:rsidR="00DB0B7C" w:rsidRPr="00BC51B8" w:rsidRDefault="00DB0B7C" w:rsidP="00DB0B7C">
            <w:pPr>
              <w:pStyle w:val="Tabulka"/>
              <w:rPr>
                <w:b/>
                <w:sz w:val="14"/>
                <w:highlight w:val="green"/>
              </w:rPr>
            </w:pPr>
            <w:r w:rsidRPr="00B60DEA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290E68C2" w14:textId="4656D5AC" w:rsidR="00DB0B7C" w:rsidRPr="00BC51B8" w:rsidRDefault="00DB0B7C" w:rsidP="00DB0B7C">
            <w:pPr>
              <w:pStyle w:val="Tabulka"/>
              <w:rPr>
                <w:b/>
                <w:sz w:val="14"/>
                <w:highlight w:val="green"/>
              </w:rPr>
            </w:pPr>
            <w:r w:rsidRPr="00B60DEA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28D5AFAD" w14:textId="758EB077" w:rsidR="00DB0B7C" w:rsidRPr="00BC51B8" w:rsidRDefault="00DB0B7C" w:rsidP="00DB0B7C">
            <w:pPr>
              <w:pStyle w:val="Tabulka"/>
              <w:jc w:val="center"/>
              <w:rPr>
                <w:b/>
                <w:sz w:val="14"/>
                <w:highlight w:val="green"/>
              </w:rPr>
            </w:pPr>
            <w:r w:rsidRPr="00B60DEA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28C1381F" w14:textId="7E45E0BA" w:rsidR="00DB0B7C" w:rsidRPr="00BC51B8" w:rsidRDefault="00DB0B7C" w:rsidP="00DB0B7C">
            <w:pPr>
              <w:pStyle w:val="Tabulka"/>
              <w:rPr>
                <w:b/>
                <w:sz w:val="14"/>
                <w:highlight w:val="green"/>
              </w:rPr>
            </w:pPr>
            <w:r w:rsidRPr="00B60DEA">
              <w:rPr>
                <w:b/>
                <w:sz w:val="14"/>
              </w:rPr>
              <w:t>Doba trvání</w:t>
            </w:r>
          </w:p>
        </w:tc>
      </w:tr>
      <w:tr w:rsidR="00DB0B7C" w:rsidRPr="00BC51B8" w14:paraId="33B3853D" w14:textId="77777777" w:rsidTr="006A10C4">
        <w:tc>
          <w:tcPr>
            <w:tcW w:w="1327" w:type="dxa"/>
            <w:shd w:val="clear" w:color="auto" w:fill="auto"/>
          </w:tcPr>
          <w:p w14:paraId="73F1990B" w14:textId="77777777" w:rsidR="00DB0B7C" w:rsidRPr="00BC51B8" w:rsidRDefault="00DB0B7C" w:rsidP="00DB0B7C">
            <w:pPr>
              <w:pStyle w:val="Tabulka"/>
              <w:rPr>
                <w:sz w:val="14"/>
                <w:highlight w:val="green"/>
              </w:rPr>
            </w:pPr>
          </w:p>
        </w:tc>
        <w:tc>
          <w:tcPr>
            <w:tcW w:w="3118" w:type="dxa"/>
            <w:shd w:val="clear" w:color="auto" w:fill="auto"/>
          </w:tcPr>
          <w:p w14:paraId="16892133" w14:textId="622A0567" w:rsidR="00DB0B7C" w:rsidRPr="00BC51B8" w:rsidRDefault="00DB0B7C" w:rsidP="00DB0B7C">
            <w:pPr>
              <w:pStyle w:val="Tabulka"/>
              <w:rPr>
                <w:sz w:val="14"/>
                <w:highlight w:val="green"/>
              </w:rPr>
            </w:pPr>
            <w:r w:rsidRPr="00B60DEA">
              <w:rPr>
                <w:sz w:val="14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14:paraId="25CB7214" w14:textId="77777777" w:rsidR="00DB0B7C" w:rsidRPr="00BC51B8" w:rsidRDefault="00DB0B7C" w:rsidP="00DB0B7C">
            <w:pPr>
              <w:pStyle w:val="Tabulka"/>
              <w:jc w:val="center"/>
              <w:rPr>
                <w:sz w:val="14"/>
                <w:highlight w:val="green"/>
              </w:rPr>
            </w:pPr>
          </w:p>
        </w:tc>
        <w:tc>
          <w:tcPr>
            <w:tcW w:w="1985" w:type="dxa"/>
            <w:shd w:val="clear" w:color="auto" w:fill="auto"/>
          </w:tcPr>
          <w:p w14:paraId="08E426DC" w14:textId="7EC79AC5" w:rsidR="00DB0B7C" w:rsidRPr="00BC51B8" w:rsidRDefault="00DB0B7C" w:rsidP="00DB0B7C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duben</w:t>
            </w:r>
            <w:r w:rsidRPr="00B60DEA">
              <w:rPr>
                <w:sz w:val="14"/>
              </w:rPr>
              <w:t xml:space="preserve"> 2021</w:t>
            </w:r>
          </w:p>
        </w:tc>
      </w:tr>
      <w:tr w:rsidR="00DB0B7C" w:rsidRPr="00BC51B8" w14:paraId="201B8BBB" w14:textId="77777777" w:rsidTr="006A10C4">
        <w:tc>
          <w:tcPr>
            <w:tcW w:w="1327" w:type="dxa"/>
            <w:shd w:val="clear" w:color="auto" w:fill="auto"/>
          </w:tcPr>
          <w:p w14:paraId="090B3B4C" w14:textId="151E10CB" w:rsidR="00DB0B7C" w:rsidRPr="00BC51B8" w:rsidRDefault="00DB0B7C" w:rsidP="00DB0B7C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Koleje č. 8 a 10 v </w:t>
            </w:r>
            <w:proofErr w:type="spellStart"/>
            <w:r>
              <w:rPr>
                <w:sz w:val="14"/>
              </w:rPr>
              <w:t>žst</w:t>
            </w:r>
            <w:proofErr w:type="spellEnd"/>
            <w:r>
              <w:rPr>
                <w:sz w:val="14"/>
              </w:rPr>
              <w:t>. Brno-Maloměřice</w:t>
            </w:r>
          </w:p>
        </w:tc>
        <w:tc>
          <w:tcPr>
            <w:tcW w:w="3118" w:type="dxa"/>
            <w:shd w:val="clear" w:color="auto" w:fill="auto"/>
          </w:tcPr>
          <w:p w14:paraId="0EEE86B0" w14:textId="15571FCE" w:rsidR="00DB0B7C" w:rsidRPr="00BC51B8" w:rsidRDefault="00DB0B7C" w:rsidP="00DB0B7C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Výměna kolejového roštu, výměna kolejového lože, oprava GPK</w:t>
            </w:r>
          </w:p>
        </w:tc>
        <w:tc>
          <w:tcPr>
            <w:tcW w:w="1701" w:type="dxa"/>
            <w:shd w:val="clear" w:color="auto" w:fill="auto"/>
          </w:tcPr>
          <w:p w14:paraId="6FB1CAA0" w14:textId="2983A5F7" w:rsidR="00DB0B7C" w:rsidRPr="00BC51B8" w:rsidRDefault="00DB0B7C" w:rsidP="00DB0B7C">
            <w:pPr>
              <w:pStyle w:val="Tabulka"/>
              <w:jc w:val="center"/>
              <w:rPr>
                <w:sz w:val="14"/>
                <w:highlight w:val="green"/>
              </w:rPr>
            </w:pPr>
            <w:r>
              <w:rPr>
                <w:sz w:val="14"/>
              </w:rPr>
              <w:t>15</w:t>
            </w:r>
            <w:r w:rsidRPr="00B60DEA">
              <w:rPr>
                <w:sz w:val="14"/>
              </w:rPr>
              <w:t>N</w:t>
            </w:r>
          </w:p>
        </w:tc>
        <w:tc>
          <w:tcPr>
            <w:tcW w:w="1985" w:type="dxa"/>
            <w:shd w:val="clear" w:color="auto" w:fill="auto"/>
          </w:tcPr>
          <w:p w14:paraId="12B76147" w14:textId="432817A8" w:rsidR="00DB0B7C" w:rsidRPr="00BC51B8" w:rsidRDefault="00DB0B7C" w:rsidP="00DB0B7C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24. 4. – 7. 5</w:t>
            </w:r>
            <w:r w:rsidRPr="00B60DEA">
              <w:rPr>
                <w:sz w:val="14"/>
              </w:rPr>
              <w:t>. 2021</w:t>
            </w:r>
          </w:p>
        </w:tc>
      </w:tr>
      <w:tr w:rsidR="00DB0B7C" w:rsidRPr="00BC51B8" w14:paraId="6623199F" w14:textId="77777777" w:rsidTr="006A10C4">
        <w:tc>
          <w:tcPr>
            <w:tcW w:w="1327" w:type="dxa"/>
            <w:shd w:val="clear" w:color="auto" w:fill="auto"/>
          </w:tcPr>
          <w:p w14:paraId="5BCC3B7B" w14:textId="74206131" w:rsidR="00DB0B7C" w:rsidRPr="00BC51B8" w:rsidRDefault="00DB0B7C" w:rsidP="00DB0B7C">
            <w:pPr>
              <w:pStyle w:val="Tabulka"/>
              <w:rPr>
                <w:sz w:val="14"/>
                <w:highlight w:val="green"/>
              </w:rPr>
            </w:pPr>
          </w:p>
        </w:tc>
        <w:tc>
          <w:tcPr>
            <w:tcW w:w="3118" w:type="dxa"/>
            <w:shd w:val="clear" w:color="auto" w:fill="auto"/>
          </w:tcPr>
          <w:p w14:paraId="4512C084" w14:textId="6B6A4F05" w:rsidR="00DB0B7C" w:rsidRPr="00BC51B8" w:rsidRDefault="00DB0B7C" w:rsidP="00DB0B7C">
            <w:pPr>
              <w:pStyle w:val="Tabulka"/>
              <w:rPr>
                <w:sz w:val="14"/>
                <w:highlight w:val="green"/>
              </w:rPr>
            </w:pPr>
            <w:r w:rsidRPr="00B60DEA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7B7051D4" w14:textId="68666B00" w:rsidR="00DB0B7C" w:rsidRPr="00BC51B8" w:rsidRDefault="00DB0B7C" w:rsidP="00DB0B7C">
            <w:pPr>
              <w:pStyle w:val="Tabulka"/>
              <w:jc w:val="center"/>
              <w:rPr>
                <w:sz w:val="14"/>
                <w:highlight w:val="green"/>
              </w:rPr>
            </w:pPr>
          </w:p>
        </w:tc>
        <w:tc>
          <w:tcPr>
            <w:tcW w:w="1985" w:type="dxa"/>
            <w:shd w:val="clear" w:color="auto" w:fill="auto"/>
          </w:tcPr>
          <w:p w14:paraId="1F0035F7" w14:textId="437C4A80" w:rsidR="00DB0B7C" w:rsidRPr="00BC51B8" w:rsidRDefault="00DB0B7C" w:rsidP="00DB0B7C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červen 2021</w:t>
            </w:r>
          </w:p>
        </w:tc>
      </w:tr>
    </w:tbl>
    <w:p w14:paraId="29D7C88C" w14:textId="77777777" w:rsidR="00DF7BAA" w:rsidRDefault="00DF7BAA" w:rsidP="00DF7BAA">
      <w:pPr>
        <w:pStyle w:val="Nadpis2-1"/>
      </w:pPr>
      <w:bookmarkStart w:id="42" w:name="_Toc6410461"/>
      <w:bookmarkStart w:id="43" w:name="_Toc61530768"/>
      <w:r w:rsidRPr="00EC2E51">
        <w:t>SOUVISEJÍCÍ</w:t>
      </w:r>
      <w:r>
        <w:t xml:space="preserve"> DOKUMENTY A PŘEDPISY</w:t>
      </w:r>
      <w:bookmarkEnd w:id="42"/>
      <w:bookmarkEnd w:id="43"/>
    </w:p>
    <w:p w14:paraId="56357043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0BD31B08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3CC0C98A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4B007F7C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6D279568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229B9D0F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46E5200A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F0B066F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137A8FC9" w14:textId="2EBFCDE4" w:rsidR="00DF7BAA" w:rsidRDefault="00EC613E" w:rsidP="00DB0B7C">
      <w:pPr>
        <w:pStyle w:val="Textbezslovn"/>
      </w:pPr>
      <w:r w:rsidRPr="006A10C4">
        <w:rPr>
          <w:color w:val="000000"/>
        </w:rPr>
        <w:lastRenderedPageBreak/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1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="00DB0B7C">
        <w:t>“</w:t>
      </w:r>
    </w:p>
    <w:p w14:paraId="5FEAD707" w14:textId="77777777" w:rsidR="00DF7BAA" w:rsidRPr="00DF7BAA" w:rsidRDefault="00DF7BAA" w:rsidP="00264D52">
      <w:pPr>
        <w:pStyle w:val="Textbezodsazen"/>
      </w:pPr>
    </w:p>
    <w:p w14:paraId="4F480C8C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A162B02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212F0" w14:textId="77777777" w:rsidR="00FF10E9" w:rsidRDefault="00FF10E9" w:rsidP="00962258">
      <w:pPr>
        <w:spacing w:after="0" w:line="240" w:lineRule="auto"/>
      </w:pPr>
      <w:r>
        <w:separator/>
      </w:r>
    </w:p>
  </w:endnote>
  <w:endnote w:type="continuationSeparator" w:id="0">
    <w:p w14:paraId="6B8EAFF2" w14:textId="77777777" w:rsidR="00FF10E9" w:rsidRDefault="00FF10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F10E9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742A575E" w:rsidR="00FF10E9" w:rsidRPr="006A10C4" w:rsidRDefault="00FF10E9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CF5DA1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CF5DA1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55928AC6" w:rsidR="00FF10E9" w:rsidRPr="006A10C4" w:rsidRDefault="00B04321" w:rsidP="003462EB">
          <w:pPr>
            <w:pStyle w:val="Zpatvlevo"/>
          </w:pPr>
          <w:fldSimple w:instr=" STYLEREF  _Název_akce  \* MERGEFORMAT ">
            <w:r w:rsidR="00CF5DA1">
              <w:rPr>
                <w:noProof/>
              </w:rPr>
              <w:t>Oprava kolejí v žst. Brno-Maloměřice – SK 10</w:t>
            </w:r>
          </w:fldSimple>
        </w:p>
        <w:p w14:paraId="7F468745" w14:textId="77777777" w:rsidR="00FF10E9" w:rsidRPr="006A10C4" w:rsidRDefault="00FF10E9" w:rsidP="003462EB">
          <w:pPr>
            <w:pStyle w:val="Zpatvlevo"/>
          </w:pPr>
          <w:r w:rsidRPr="006A10C4">
            <w:t xml:space="preserve">Příloha č. 2 c) </w:t>
          </w:r>
        </w:p>
        <w:p w14:paraId="4FC04CB0" w14:textId="77777777" w:rsidR="00FF10E9" w:rsidRPr="006A10C4" w:rsidRDefault="00FF10E9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17B56569" w14:textId="77777777" w:rsidR="00FF10E9" w:rsidRPr="00614E71" w:rsidRDefault="00FF10E9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F10E9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851F7" w14:textId="0A1E391F" w:rsidR="00FF10E9" w:rsidRPr="006A10C4" w:rsidRDefault="00B04321" w:rsidP="003B111D">
          <w:pPr>
            <w:pStyle w:val="Zpatvpravo"/>
          </w:pPr>
          <w:fldSimple w:instr=" STYLEREF  _Název_akce  \* MERGEFORMAT ">
            <w:r w:rsidR="00CF5DA1">
              <w:rPr>
                <w:noProof/>
              </w:rPr>
              <w:t>Oprava kolejí v žst. Brno-Maloměřice – SK 10</w:t>
            </w:r>
          </w:fldSimple>
        </w:p>
        <w:p w14:paraId="5E1D2D32" w14:textId="77777777" w:rsidR="00FF10E9" w:rsidRPr="006A10C4" w:rsidRDefault="00FF10E9" w:rsidP="003B111D">
          <w:pPr>
            <w:pStyle w:val="Zpatvpravo"/>
          </w:pPr>
          <w:r w:rsidRPr="006A10C4">
            <w:t>Příloha č. 2 c)</w:t>
          </w:r>
        </w:p>
        <w:p w14:paraId="205BC769" w14:textId="77777777" w:rsidR="00FF10E9" w:rsidRPr="006A10C4" w:rsidRDefault="00FF10E9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1F0E5A8B" w:rsidR="00FF10E9" w:rsidRPr="006A10C4" w:rsidRDefault="00FF10E9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CF5DA1">
            <w:rPr>
              <w:rStyle w:val="slostrnky"/>
              <w:noProof/>
            </w:rPr>
            <w:t>3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CF5DA1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435253F" w14:textId="77777777" w:rsidR="00FF10E9" w:rsidRPr="00B8518B" w:rsidRDefault="00FF10E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FF10E9" w:rsidRPr="00B8518B" w:rsidRDefault="00FF10E9" w:rsidP="00460660">
    <w:pPr>
      <w:pStyle w:val="Zpat"/>
      <w:rPr>
        <w:sz w:val="2"/>
        <w:szCs w:val="2"/>
      </w:rPr>
    </w:pPr>
  </w:p>
  <w:p w14:paraId="0C534B82" w14:textId="77777777" w:rsidR="00FF10E9" w:rsidRDefault="00FF10E9" w:rsidP="00054FC6">
    <w:pPr>
      <w:pStyle w:val="Zpat"/>
      <w:rPr>
        <w:rFonts w:cs="Calibri"/>
        <w:szCs w:val="12"/>
      </w:rPr>
    </w:pPr>
  </w:p>
  <w:p w14:paraId="72845FD6" w14:textId="77777777" w:rsidR="00FF10E9" w:rsidRPr="005D19D8" w:rsidRDefault="00FF10E9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FF10E9" w:rsidRPr="00460660" w:rsidRDefault="00FF10E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937B0" w14:textId="77777777" w:rsidR="00FF10E9" w:rsidRDefault="00FF10E9" w:rsidP="00962258">
      <w:pPr>
        <w:spacing w:after="0" w:line="240" w:lineRule="auto"/>
      </w:pPr>
      <w:r>
        <w:separator/>
      </w:r>
    </w:p>
  </w:footnote>
  <w:footnote w:type="continuationSeparator" w:id="0">
    <w:p w14:paraId="5DF8A1D4" w14:textId="77777777" w:rsidR="00FF10E9" w:rsidRDefault="00FF10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10E9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FF10E9" w:rsidRPr="006A10C4" w:rsidRDefault="00FF10E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FF10E9" w:rsidRPr="006A10C4" w:rsidRDefault="00FF10E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FF10E9" w:rsidRPr="006A10C4" w:rsidRDefault="00FF10E9" w:rsidP="006A10C4">
          <w:pPr>
            <w:pStyle w:val="Druhdokumentu"/>
            <w:spacing w:after="0"/>
          </w:pPr>
        </w:p>
      </w:tc>
    </w:tr>
  </w:tbl>
  <w:p w14:paraId="4CE49ED7" w14:textId="77777777" w:rsidR="00FF10E9" w:rsidRPr="00D6163D" w:rsidRDefault="00FF10E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F10E9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FF10E9" w:rsidRPr="006A10C4" w:rsidRDefault="00FF10E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FF10E9" w:rsidRPr="006A10C4" w:rsidRDefault="00FF10E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FF10E9" w:rsidRPr="006A10C4" w:rsidRDefault="00FF10E9" w:rsidP="006A10C4">
          <w:pPr>
            <w:pStyle w:val="Druhdokumentu"/>
            <w:spacing w:after="0"/>
          </w:pPr>
        </w:p>
      </w:tc>
    </w:tr>
    <w:tr w:rsidR="00FF10E9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FF10E9" w:rsidRPr="006A10C4" w:rsidRDefault="00FF10E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FF10E9" w:rsidRPr="006A10C4" w:rsidRDefault="00FF10E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FF10E9" w:rsidRPr="006A10C4" w:rsidRDefault="00FF10E9" w:rsidP="006A10C4">
          <w:pPr>
            <w:pStyle w:val="Druhdokumentu"/>
            <w:spacing w:after="0"/>
          </w:pPr>
        </w:p>
      </w:tc>
    </w:tr>
  </w:tbl>
  <w:p w14:paraId="22594FAA" w14:textId="77777777" w:rsidR="00FF10E9" w:rsidRPr="00D6163D" w:rsidRDefault="00FF10E9" w:rsidP="00FC6389">
    <w:pPr>
      <w:pStyle w:val="Zhlav"/>
      <w:rPr>
        <w:sz w:val="8"/>
        <w:szCs w:val="8"/>
      </w:rPr>
    </w:pPr>
  </w:p>
  <w:p w14:paraId="5751DFB5" w14:textId="77777777" w:rsidR="00FF10E9" w:rsidRPr="00460660" w:rsidRDefault="00FF10E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A3B3C"/>
    <w:rsid w:val="001A5EC1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3E92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109A7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04CF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80E0E"/>
    <w:rsid w:val="00887F36"/>
    <w:rsid w:val="00890A4F"/>
    <w:rsid w:val="00891D37"/>
    <w:rsid w:val="008926CB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4742E"/>
    <w:rsid w:val="00950944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0F6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4321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518B"/>
    <w:rsid w:val="00B861EA"/>
    <w:rsid w:val="00B9150D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5BE9"/>
    <w:rsid w:val="00C6198E"/>
    <w:rsid w:val="00C708EA"/>
    <w:rsid w:val="00C71821"/>
    <w:rsid w:val="00C73385"/>
    <w:rsid w:val="00C778A5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CF5DA1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0B7C"/>
    <w:rsid w:val="00DB58AA"/>
    <w:rsid w:val="00DB6450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6572E"/>
    <w:rsid w:val="00E7218A"/>
    <w:rsid w:val="00E73A06"/>
    <w:rsid w:val="00E75E88"/>
    <w:rsid w:val="00E84C3A"/>
    <w:rsid w:val="00E878EE"/>
    <w:rsid w:val="00E9207D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  <w:rsid w:val="00FF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BAE761-B419-46FB-92B5-997B494DB88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2</TotalTime>
  <Pages>11</Pages>
  <Words>3805</Words>
  <Characters>22456</Characters>
  <Application>Microsoft Office Word</Application>
  <DocSecurity>0</DocSecurity>
  <Lines>187</Lines>
  <Paragraphs>52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26209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Šiške Vladimír, Ing.</cp:lastModifiedBy>
  <cp:revision>5</cp:revision>
  <cp:lastPrinted>2021-01-14T11:41:00Z</cp:lastPrinted>
  <dcterms:created xsi:type="dcterms:W3CDTF">2021-01-14T11:39:00Z</dcterms:created>
  <dcterms:modified xsi:type="dcterms:W3CDTF">2021-01-14T14:32:00Z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